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85A3" w14:textId="77777777" w:rsidR="00A4035B" w:rsidRPr="00A61777" w:rsidRDefault="00A4035B" w:rsidP="00A4035B">
      <w:pPr>
        <w:jc w:val="center"/>
        <w:rPr>
          <w:rFonts w:ascii="GHEA Grapalat" w:hAnsi="GHEA Grapalat"/>
          <w:b/>
          <w:sz w:val="28"/>
          <w:szCs w:val="28"/>
        </w:rPr>
      </w:pPr>
    </w:p>
    <w:p w14:paraId="7C55A098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7BFED403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7A186D66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1629DB11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5EC5DC23" w14:textId="77777777" w:rsidR="00830319" w:rsidRDefault="00830319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679B170F" w14:textId="77777777" w:rsidR="00830319" w:rsidRDefault="00830319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43D08D50" w14:textId="77777777" w:rsidR="00830319" w:rsidRDefault="00830319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32CA215C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0F6EA476" w14:textId="77777777" w:rsidR="00A4035B" w:rsidRDefault="00A4035B" w:rsidP="00A4035B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22A7F4C6" w14:textId="7D668BAB" w:rsidR="003446D3" w:rsidRPr="00D15789" w:rsidRDefault="00591BB3" w:rsidP="00A4035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ՀՀ </w:t>
      </w:r>
      <w:r w:rsidR="00A4035B" w:rsidRPr="00A4035B">
        <w:rPr>
          <w:rFonts w:ascii="GHEA Grapalat" w:hAnsi="GHEA Grapalat"/>
          <w:b/>
          <w:sz w:val="28"/>
          <w:szCs w:val="28"/>
          <w:lang w:val="en-US"/>
        </w:rPr>
        <w:t>ՔԱՂԱՔԱՑՈՒ ԲՅՈՒՋԵ 202</w:t>
      </w:r>
      <w:r w:rsidR="00D15789">
        <w:rPr>
          <w:rFonts w:ascii="GHEA Grapalat" w:hAnsi="GHEA Grapalat"/>
          <w:b/>
          <w:sz w:val="28"/>
          <w:szCs w:val="28"/>
          <w:lang w:val="hy-AM"/>
        </w:rPr>
        <w:t>7</w:t>
      </w:r>
      <w:bookmarkStart w:id="0" w:name="_GoBack"/>
      <w:bookmarkEnd w:id="0"/>
    </w:p>
    <w:p w14:paraId="2066025C" w14:textId="77777777" w:rsidR="00A4035B" w:rsidRPr="00A61777" w:rsidRDefault="00A61777" w:rsidP="00A4035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ՀՀ դատախազություն</w:t>
      </w:r>
    </w:p>
    <w:p w14:paraId="04754045" w14:textId="77777777" w:rsidR="00A4035B" w:rsidRDefault="00A4035B">
      <w:pPr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br w:type="page"/>
      </w:r>
    </w:p>
    <w:p w14:paraId="212F3710" w14:textId="77777777" w:rsidR="00A4035B" w:rsidRPr="00CE77BD" w:rsidRDefault="00A4035B" w:rsidP="00E72E68">
      <w:pPr>
        <w:pStyle w:val="Default"/>
        <w:spacing w:before="3" w:after="120" w:line="360" w:lineRule="auto"/>
        <w:jc w:val="center"/>
        <w:rPr>
          <w:lang w:val="en-US"/>
        </w:rPr>
      </w:pPr>
      <w:r w:rsidRPr="00A4035B">
        <w:rPr>
          <w:b/>
          <w:bCs/>
        </w:rPr>
        <w:lastRenderedPageBreak/>
        <w:t>ԲԱԺԻՆ</w:t>
      </w:r>
      <w:r w:rsidRPr="00CE77BD">
        <w:rPr>
          <w:b/>
          <w:bCs/>
          <w:lang w:val="en-US"/>
        </w:rPr>
        <w:t xml:space="preserve"> 1. </w:t>
      </w:r>
      <w:r w:rsidRPr="00A4035B">
        <w:rPr>
          <w:b/>
          <w:bCs/>
        </w:rPr>
        <w:t>ՈԼՈՐՏԱՅԻՆ</w:t>
      </w:r>
      <w:r w:rsidRPr="00CE77BD">
        <w:rPr>
          <w:b/>
          <w:bCs/>
          <w:lang w:val="en-US"/>
        </w:rPr>
        <w:t xml:space="preserve"> </w:t>
      </w:r>
      <w:r w:rsidRPr="00A4035B">
        <w:rPr>
          <w:b/>
          <w:bCs/>
        </w:rPr>
        <w:t>ՔԱՂԱՔԱԿԱՆՈՒԹՅՈՒՆՆԵՐԻ</w:t>
      </w:r>
      <w:r w:rsidRPr="00CE77BD">
        <w:rPr>
          <w:b/>
          <w:bCs/>
          <w:lang w:val="en-US"/>
        </w:rPr>
        <w:t xml:space="preserve"> </w:t>
      </w:r>
      <w:r w:rsidRPr="00A4035B">
        <w:rPr>
          <w:b/>
          <w:bCs/>
        </w:rPr>
        <w:t>ՈՒՂՂՈՒԹՅՈՒՆՆԵՐԸ</w:t>
      </w:r>
    </w:p>
    <w:p w14:paraId="2B6029CB" w14:textId="77777777" w:rsidR="00A61777" w:rsidRPr="00A61777" w:rsidRDefault="00A61777" w:rsidP="00E72E68">
      <w:pPr>
        <w:spacing w:line="240" w:lineRule="auto"/>
        <w:ind w:firstLine="720"/>
        <w:rPr>
          <w:rFonts w:ascii="GHEA Grapalat" w:hAnsi="GHEA Grapalat"/>
          <w:sz w:val="24"/>
          <w:szCs w:val="24"/>
          <w:lang w:val="en-US"/>
        </w:rPr>
      </w:pPr>
      <w:r w:rsidRPr="00A61777">
        <w:rPr>
          <w:rFonts w:ascii="GHEA Grapalat" w:hAnsi="GHEA Grapalat"/>
          <w:sz w:val="24"/>
          <w:szCs w:val="24"/>
          <w:lang w:val="en-US"/>
        </w:rPr>
        <w:t xml:space="preserve">ՀՀ դատախազության հիմնական ռազմավարական նպատակներն են. </w:t>
      </w:r>
    </w:p>
    <w:p w14:paraId="23302771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 hանցավոր ոտնձգություններից քաղաքացիների, իրավաբանական անձանց, պետության իրավունքների և օրինական շահերի պաշտպանությունը, մինչդատական վարույթում դատավարության մասնակիցների իրավունքների պաշտպանությունը, </w:t>
      </w:r>
    </w:p>
    <w:p w14:paraId="0965D399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մինչդատական վարույթի արդյունավետության և որակի ապահովումը, </w:t>
      </w:r>
    </w:p>
    <w:p w14:paraId="22735B3E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հանցագործությունների կատարմանը նպաստող պատճառների և պայմանների բացահայտում ու վերացումը, հանցավորության դեմ պայքարը, հանցագործությունների բացահայտմանն ու կանխարգելմանն ուղղված միջոցառումների մշակումը, հանցագործությունների և հանցանք կատարած անձանց բացահայտումն ու հայտնաբերումը, </w:t>
      </w:r>
    </w:p>
    <w:p w14:paraId="3E801804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կոռուպցիոն դրսևորումների բացահայտումն ու կանխարգելումը, պետությանը պատճառված նյութական վնասների վերականգնումը, 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արդյունավետությունը, նվազեցնել կոռուպցիոն ռիսկերը, ինչպես նաև նպաստել կոռուպցիոն երևույթների կանխարգելմանը, </w:t>
      </w:r>
    </w:p>
    <w:p w14:paraId="532617A9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ապահովել հետաքննության և նախաքննության լրիվության, օբյեկտիվության, բազմակողմանիության և արդյունավետության ապահովման վերաբերյալ օրենսդրական պահանջների անշեղ իրացումը, ապահովել անձի իրավունքները, ազատությունները և արժանապատվությունը հարգելու, օրենքի և դատարանի առջև հավասարության, անձի և բնակարանի  անձեռնմխելիության, գործի արդարացի քննության, անմեղության կանխավարկածի, կասկածյալի և մեղադրյալի պաշտպանության իրավունքի ապահովման, սահմանադրական, քրեադատավարական ու միջազգային իրավական այլ հանրաճանաչ սկզբունքների պատշաճ իրացումը, </w:t>
      </w:r>
    </w:p>
    <w:p w14:paraId="77668FCC" w14:textId="77777777" w:rsid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 xml:space="preserve">ապահովել պատիժների և հարկադրանքի այլ միջոցների կիրառման ոլորտում օրենքի գերակայությունը և միատեսակ կիրառումը, ապահովել ազատությունից զրկված անձանց իրավունքների առավել ամբողջական և արդյունավետ պաշտպանությունը, </w:t>
      </w:r>
    </w:p>
    <w:p w14:paraId="34A78A68" w14:textId="77777777" w:rsidR="00A61777" w:rsidRPr="00A61777" w:rsidRDefault="00A61777" w:rsidP="00A61777">
      <w:pPr>
        <w:pStyle w:val="a3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61777">
        <w:rPr>
          <w:rFonts w:ascii="GHEA Grapalat" w:hAnsi="GHEA Grapalat"/>
          <w:sz w:val="24"/>
          <w:szCs w:val="24"/>
          <w:lang w:val="hy-AM"/>
        </w:rPr>
        <w:t>նպաստել պետությանը պատճառված գույքային վնասի վերականգնմանը և ոչ գույքային շահերի պաշտպանությանը, կանխել պետությանը պատճառվելիք հնարավոր վնասները:</w:t>
      </w:r>
    </w:p>
    <w:p w14:paraId="1A759705" w14:textId="77777777" w:rsidR="00E72E68" w:rsidRDefault="00E72E68" w:rsidP="00E72E68">
      <w:pPr>
        <w:pStyle w:val="Default"/>
        <w:spacing w:before="3" w:after="120"/>
        <w:ind w:firstLine="720"/>
        <w:rPr>
          <w:b/>
          <w:bCs/>
          <w:lang w:val="hy-AM"/>
        </w:rPr>
      </w:pPr>
    </w:p>
    <w:p w14:paraId="2C2F4920" w14:textId="77777777" w:rsidR="009F6848" w:rsidRPr="00E72E68" w:rsidRDefault="00E72E68" w:rsidP="00E72E68">
      <w:pPr>
        <w:pStyle w:val="Default"/>
        <w:spacing w:before="3" w:after="120" w:line="360" w:lineRule="auto"/>
        <w:rPr>
          <w:b/>
          <w:bCs/>
          <w:lang w:val="hy-AM"/>
        </w:rPr>
      </w:pPr>
      <w:r w:rsidRPr="00E72E68">
        <w:rPr>
          <w:b/>
          <w:bCs/>
          <w:lang w:val="hy-AM"/>
        </w:rPr>
        <w:t xml:space="preserve">ԲԱԺԻՆ 2. </w:t>
      </w:r>
      <w:r w:rsidR="009F6848" w:rsidRPr="00E72E68">
        <w:rPr>
          <w:b/>
          <w:bCs/>
          <w:lang w:val="hy-AM"/>
        </w:rPr>
        <w:t>ՀԱՇՎԵՏՎՈՂԱԿԱՆؤ﬘ؤՆ ԵՎ ՎԵՐՋՆԱԿԱՆ ԱՐԴՅؤՆՔՆԵՐ</w:t>
      </w:r>
    </w:p>
    <w:p w14:paraId="2D150DD8" w14:textId="77777777" w:rsidR="00E72E68" w:rsidRPr="00D00F34" w:rsidRDefault="00E72E68" w:rsidP="00E72E68">
      <w:pPr>
        <w:spacing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00F34">
        <w:rPr>
          <w:rFonts w:ascii="GHEA Grapalat" w:hAnsi="GHEA Grapalat"/>
          <w:sz w:val="24"/>
          <w:szCs w:val="24"/>
          <w:lang w:val="hy-AM"/>
        </w:rPr>
        <w:t xml:space="preserve">Որպես գերակա վերջնական արդյունքներ պետք է առանձնացնել. </w:t>
      </w:r>
    </w:p>
    <w:p w14:paraId="1BC0DA4F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հանցագործությունների ժամանակին և լրիվ բացահայտմանը նպաստում, հանցանք կատարած անձանց հայտնաբերում և նրանց քրեական պատասխանատվության ենթարկում, </w:t>
      </w:r>
    </w:p>
    <w:p w14:paraId="5083BD13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lastRenderedPageBreak/>
        <w:t xml:space="preserve">հետաքննության և նախաքննության լրիվության, օբյեկտիվության, բազմակողմանիության ու արդյունավետության ապահովում, </w:t>
      </w:r>
    </w:p>
    <w:p w14:paraId="68F95A77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հանցավորության մակարդակի ցուցանիշների բարելավում, </w:t>
      </w:r>
    </w:p>
    <w:p w14:paraId="41107BE5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պատիժների և հարկադրանքի այլ միջոցների կիրառման ոլորտում օրենքի գերակայությունը և միատեսակ կիրառման ապահովում, </w:t>
      </w:r>
    </w:p>
    <w:p w14:paraId="306DD2EA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ազատությունից զրկված անձանց իրավունքների պաշտպանության ապահովում, </w:t>
      </w:r>
    </w:p>
    <w:p w14:paraId="004122DE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միասնական և կանխատեսելի պատժողական քաղաքականության ապահովում, </w:t>
      </w:r>
    </w:p>
    <w:p w14:paraId="5DE3598A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 xml:space="preserve">պետությանը պատճառված գույքային վնասի վերականգնմանն ուղղված միջոցառումների իրականացում և ոչ գույքային շահերի պաշտպանություն, </w:t>
      </w:r>
    </w:p>
    <w:p w14:paraId="75EEFA7E" w14:textId="77777777" w:rsidR="00E72E68" w:rsidRDefault="00E72E6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E72E68">
        <w:rPr>
          <w:rFonts w:ascii="GHEA Grapalat" w:hAnsi="GHEA Grapalat"/>
          <w:sz w:val="24"/>
          <w:szCs w:val="24"/>
          <w:lang w:val="hy-AM"/>
        </w:rPr>
        <w:t>կոռուպցիոն ռիսկերի նվազեցում, կոռուպցիոն երևույթների կանխարգելում</w:t>
      </w:r>
      <w:r w:rsidR="00467C38" w:rsidRPr="00467C38">
        <w:rPr>
          <w:rFonts w:ascii="GHEA Grapalat" w:hAnsi="GHEA Grapalat"/>
          <w:sz w:val="24"/>
          <w:szCs w:val="24"/>
          <w:lang w:val="hy-AM"/>
        </w:rPr>
        <w:t>,</w:t>
      </w:r>
      <w:r w:rsidRPr="00E72E6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0CA98F" w14:textId="77777777" w:rsidR="00467C38" w:rsidRDefault="00467C38" w:rsidP="00E72E68">
      <w:pPr>
        <w:pStyle w:val="a3"/>
        <w:numPr>
          <w:ilvl w:val="0"/>
          <w:numId w:val="5"/>
        </w:num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467C38">
        <w:rPr>
          <w:rFonts w:ascii="GHEA Grapalat" w:hAnsi="GHEA Grapalat"/>
          <w:sz w:val="24"/>
          <w:szCs w:val="24"/>
          <w:lang w:val="hy-AM"/>
        </w:rPr>
        <w:t>ապօրինի ծագում ունեցող գույքի բռնագանձում:</w:t>
      </w:r>
    </w:p>
    <w:p w14:paraId="3CD1C178" w14:textId="77777777" w:rsidR="009F6848" w:rsidRPr="00E72E68" w:rsidRDefault="009F6848" w:rsidP="009F6848">
      <w:pPr>
        <w:pStyle w:val="Default"/>
        <w:rPr>
          <w:lang w:val="hy-AM"/>
        </w:rPr>
      </w:pPr>
    </w:p>
    <w:p w14:paraId="55F7EF6F" w14:textId="77777777" w:rsidR="009F6848" w:rsidRPr="004A0225" w:rsidRDefault="009F6848" w:rsidP="00E72E68">
      <w:pPr>
        <w:pStyle w:val="Default"/>
        <w:spacing w:before="3" w:after="120"/>
        <w:rPr>
          <w:b/>
          <w:bCs/>
          <w:lang w:val="hy-AM"/>
        </w:rPr>
      </w:pPr>
      <w:r w:rsidRPr="004A0225">
        <w:rPr>
          <w:b/>
          <w:bCs/>
          <w:lang w:val="hy-AM"/>
        </w:rPr>
        <w:t>ԲԱԺԻՆ 3. ԲՅՈՒՋԵՏԱՅԻՆ ԾԱԽՍԵՐԻ ՀԻՄՆԱԿԱՆ ՈՒՂՂՈՒԹՅՈՒՆՆԵՐԸ</w:t>
      </w:r>
    </w:p>
    <w:p w14:paraId="23A9632C" w14:textId="32104FE6" w:rsidR="009F6848" w:rsidRDefault="0041260E" w:rsidP="00B9436F">
      <w:pPr>
        <w:pStyle w:val="Default"/>
        <w:spacing w:after="120" w:line="360" w:lineRule="auto"/>
        <w:ind w:firstLine="708"/>
        <w:jc w:val="both"/>
        <w:rPr>
          <w:bCs/>
          <w:lang w:val="hy-AM"/>
        </w:rPr>
      </w:pPr>
      <w:r w:rsidRPr="004A0225">
        <w:rPr>
          <w:bCs/>
          <w:lang w:val="hy-AM"/>
        </w:rPr>
        <w:t xml:space="preserve">Ոլորտին ուղղվող ռեսուրսները կաճեն </w:t>
      </w:r>
      <w:r w:rsidR="00CF1785">
        <w:rPr>
          <w:bCs/>
          <w:lang w:val="hy-AM"/>
        </w:rPr>
        <w:t>1,</w:t>
      </w:r>
      <w:r w:rsidR="005B23AC" w:rsidRPr="005B23AC">
        <w:rPr>
          <w:bCs/>
          <w:lang w:val="hy-AM"/>
        </w:rPr>
        <w:t>054</w:t>
      </w:r>
      <w:r w:rsidR="00CF1785">
        <w:rPr>
          <w:bCs/>
          <w:lang w:val="hy-AM"/>
        </w:rPr>
        <w:t>,</w:t>
      </w:r>
      <w:r w:rsidR="005B23AC" w:rsidRPr="005B23AC">
        <w:rPr>
          <w:bCs/>
          <w:lang w:val="hy-AM"/>
        </w:rPr>
        <w:t>639</w:t>
      </w:r>
      <w:r w:rsidR="006726DF" w:rsidRPr="006726DF">
        <w:rPr>
          <w:bCs/>
          <w:lang w:val="hy-AM"/>
        </w:rPr>
        <w:t>.</w:t>
      </w:r>
      <w:r w:rsidR="005B23AC" w:rsidRPr="005B23AC">
        <w:rPr>
          <w:bCs/>
          <w:lang w:val="hy-AM"/>
        </w:rPr>
        <w:t>6</w:t>
      </w:r>
      <w:r w:rsidR="006726DF" w:rsidRPr="006726DF">
        <w:rPr>
          <w:bCs/>
          <w:lang w:val="hy-AM"/>
        </w:rPr>
        <w:t xml:space="preserve"> </w:t>
      </w:r>
      <w:r w:rsidRPr="004A0225">
        <w:rPr>
          <w:bCs/>
          <w:lang w:val="hy-AM"/>
        </w:rPr>
        <w:t>հազ.</w:t>
      </w:r>
      <w:r w:rsidR="00C172D1" w:rsidRPr="004A0225">
        <w:rPr>
          <w:bCs/>
          <w:lang w:val="hy-AM"/>
        </w:rPr>
        <w:t xml:space="preserve"> </w:t>
      </w:r>
      <w:r w:rsidRPr="004A0225">
        <w:rPr>
          <w:bCs/>
          <w:lang w:val="hy-AM"/>
        </w:rPr>
        <w:t>դրամով: Բյուջետային ծախսերի աճը</w:t>
      </w:r>
      <w:r w:rsidR="00E43C19" w:rsidRPr="004A0225">
        <w:rPr>
          <w:bCs/>
          <w:lang w:val="hy-AM"/>
        </w:rPr>
        <w:t xml:space="preserve"> հիմնականում</w:t>
      </w:r>
      <w:r w:rsidRPr="004A0225">
        <w:rPr>
          <w:bCs/>
          <w:lang w:val="hy-AM"/>
        </w:rPr>
        <w:t xml:space="preserve"> կարձանագրվի</w:t>
      </w:r>
      <w:r w:rsidR="00E43C19" w:rsidRPr="004A0225">
        <w:rPr>
          <w:bCs/>
          <w:lang w:val="hy-AM"/>
        </w:rPr>
        <w:t xml:space="preserve"> </w:t>
      </w:r>
      <w:r w:rsidR="006726DF">
        <w:rPr>
          <w:bCs/>
          <w:lang w:val="hy-AM"/>
        </w:rPr>
        <w:t>ՀՀ դատախազության աշխատակիցների աշխատավարձի բնականոն աճի</w:t>
      </w:r>
      <w:r w:rsidR="00CF1785">
        <w:rPr>
          <w:bCs/>
          <w:lang w:val="hy-AM"/>
        </w:rPr>
        <w:t>,</w:t>
      </w:r>
      <w:r w:rsidR="00DC50A6">
        <w:rPr>
          <w:bCs/>
          <w:lang w:val="hy-AM"/>
        </w:rPr>
        <w:t xml:space="preserve"> </w:t>
      </w:r>
      <w:r w:rsidR="00CF1785" w:rsidRPr="001A426B">
        <w:rPr>
          <w:lang w:val="hy-AM"/>
        </w:rPr>
        <w:t>Եվրոպական միության քրեական արդարադատության ոլորտում համագործակցության գործակալությունում (Եվրաջասթ) համագործակցության հարցերով դատախազի հաստիք</w:t>
      </w:r>
      <w:r w:rsidR="00CF1785">
        <w:rPr>
          <w:lang w:val="hy-AM"/>
        </w:rPr>
        <w:t xml:space="preserve">ի ավելացմամբ և </w:t>
      </w:r>
      <w:r w:rsidR="00CF1785" w:rsidRPr="00655157">
        <w:rPr>
          <w:lang w:val="pt-BR"/>
        </w:rPr>
        <w:t xml:space="preserve">ՀՀ դատախազության </w:t>
      </w:r>
      <w:r w:rsidR="00CF1785" w:rsidRPr="00655157">
        <w:rPr>
          <w:lang w:val="hy-AM"/>
        </w:rPr>
        <w:t>անվտանգության ապահովման նոր պահնորդական ծառայությունների ձեռքբերմամբ</w:t>
      </w:r>
      <w:r w:rsidRPr="004A0225">
        <w:rPr>
          <w:bCs/>
          <w:lang w:val="hy-AM"/>
        </w:rPr>
        <w:t>:</w:t>
      </w:r>
      <w:r w:rsidR="009D5282" w:rsidRPr="004A0225">
        <w:rPr>
          <w:bCs/>
          <w:lang w:val="hy-AM"/>
        </w:rPr>
        <w:t xml:space="preserve"> </w:t>
      </w:r>
    </w:p>
    <w:p w14:paraId="4E513FE1" w14:textId="77777777" w:rsidR="00CF1785" w:rsidRPr="004A0225" w:rsidRDefault="00CF1785" w:rsidP="00B9436F">
      <w:pPr>
        <w:pStyle w:val="Default"/>
        <w:spacing w:after="120" w:line="360" w:lineRule="auto"/>
        <w:ind w:firstLine="708"/>
        <w:jc w:val="both"/>
        <w:rPr>
          <w:bCs/>
          <w:lang w:val="hy-AM"/>
        </w:rPr>
      </w:pPr>
    </w:p>
    <w:tbl>
      <w:tblPr>
        <w:tblStyle w:val="a9"/>
        <w:tblpPr w:leftFromText="180" w:rightFromText="180" w:vertAnchor="text" w:horzAnchor="margin" w:tblpXSpec="center" w:tblpY="1364"/>
        <w:tblW w:w="9900" w:type="dxa"/>
        <w:tblLayout w:type="fixed"/>
        <w:tblLook w:val="04A0" w:firstRow="1" w:lastRow="0" w:firstColumn="1" w:lastColumn="0" w:noHBand="0" w:noVBand="1"/>
      </w:tblPr>
      <w:tblGrid>
        <w:gridCol w:w="395"/>
        <w:gridCol w:w="1765"/>
        <w:gridCol w:w="1440"/>
        <w:gridCol w:w="1710"/>
        <w:gridCol w:w="990"/>
        <w:gridCol w:w="1080"/>
        <w:gridCol w:w="1170"/>
        <w:gridCol w:w="1350"/>
      </w:tblGrid>
      <w:tr w:rsidR="00B9436F" w:rsidRPr="00D15789" w14:paraId="401A0A93" w14:textId="77777777" w:rsidTr="00B9436F">
        <w:trPr>
          <w:trHeight w:val="1152"/>
        </w:trPr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44E4D67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#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3AFC27A8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Ծրագրի անվանումը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8A3D8E" w14:textId="2E7A551D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B23AC">
              <w:rPr>
                <w:rFonts w:ascii="GHEA Grapalat" w:hAnsi="GHEA Grapalat"/>
                <w:sz w:val="14"/>
                <w:szCs w:val="14"/>
              </w:rPr>
              <w:t>7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</w:t>
            </w:r>
          </w:p>
          <w:p w14:paraId="30687583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մլն դրամ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270DF0F" w14:textId="35947291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B23AC">
              <w:rPr>
                <w:rFonts w:ascii="GHEA Grapalat" w:hAnsi="GHEA Grapalat"/>
                <w:sz w:val="14"/>
                <w:szCs w:val="14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</w:t>
            </w:r>
          </w:p>
          <w:p w14:paraId="2F2A0C54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մլն դրամ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B27D019" w14:textId="5100D862" w:rsidR="00B9436F" w:rsidRPr="00DC0093" w:rsidRDefault="00B9436F" w:rsidP="00467C38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Կշիռը ընդամենը ոլորտի բյուջեում, 202</w:t>
            </w:r>
            <w:r w:rsidR="005B23AC" w:rsidRPr="005B23AC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թ,</w:t>
            </w:r>
            <w:r w:rsidRPr="0053227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%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1674A44" w14:textId="3FA6280B" w:rsidR="00B9436F" w:rsidRPr="00DC0093" w:rsidRDefault="00B9436F" w:rsidP="00467C38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B23AC">
              <w:rPr>
                <w:rFonts w:ascii="GHEA Grapalat" w:hAnsi="GHEA Grapalat"/>
                <w:sz w:val="14"/>
                <w:szCs w:val="14"/>
              </w:rPr>
              <w:t>7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/202</w:t>
            </w:r>
            <w:r w:rsidR="005B23AC">
              <w:rPr>
                <w:rFonts w:ascii="GHEA Grapalat" w:hAnsi="GHEA Grapalat"/>
                <w:sz w:val="14"/>
                <w:szCs w:val="14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  մլն.դրամ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298DDDB" w14:textId="12F5DD54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202</w:t>
            </w:r>
            <w:r w:rsidR="005B23AC">
              <w:rPr>
                <w:rFonts w:ascii="GHEA Grapalat" w:hAnsi="GHEA Grapalat"/>
                <w:sz w:val="14"/>
                <w:szCs w:val="14"/>
              </w:rPr>
              <w:t>7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/202</w:t>
            </w:r>
            <w:r w:rsidR="005B23AC">
              <w:rPr>
                <w:rFonts w:ascii="GHEA Grapalat" w:hAnsi="GHEA Grapalat"/>
                <w:sz w:val="14"/>
                <w:szCs w:val="14"/>
              </w:rPr>
              <w:t>6</w:t>
            </w: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թ.,</w:t>
            </w:r>
          </w:p>
          <w:p w14:paraId="2D83FB84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%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B54D271" w14:textId="77777777" w:rsidR="00B9436F" w:rsidRPr="00DC0093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0093">
              <w:rPr>
                <w:rFonts w:ascii="GHEA Grapalat" w:hAnsi="GHEA Grapalat"/>
                <w:sz w:val="14"/>
                <w:szCs w:val="14"/>
                <w:lang w:val="hy-AM"/>
              </w:rPr>
              <w:t>կշիռը ընդամենը ոլորտի հատկացումների աճում, տոկոս</w:t>
            </w:r>
          </w:p>
        </w:tc>
      </w:tr>
      <w:tr w:rsidR="00B9436F" w:rsidRPr="00467C38" w14:paraId="288F453C" w14:textId="77777777" w:rsidTr="00B9436F">
        <w:trPr>
          <w:trHeight w:val="265"/>
        </w:trPr>
        <w:tc>
          <w:tcPr>
            <w:tcW w:w="395" w:type="dxa"/>
            <w:shd w:val="clear" w:color="auto" w:fill="D9D9D9" w:themeFill="background1" w:themeFillShade="D9"/>
          </w:tcPr>
          <w:p w14:paraId="421474DB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1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25D3CC07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46F38C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FA14E1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1FFDF78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5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2CCF5E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1C1BA6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766B6">
              <w:rPr>
                <w:rFonts w:ascii="GHEA Grapalat" w:hAnsi="GHEA Grapalat"/>
                <w:b/>
                <w:sz w:val="16"/>
                <w:lang w:val="hy-AM"/>
              </w:rPr>
              <w:t>7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B5D6241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D2094">
              <w:rPr>
                <w:rFonts w:ascii="GHEA Grapalat" w:hAnsi="GHEA Grapalat"/>
                <w:b/>
                <w:sz w:val="16"/>
                <w:lang w:val="hy-AM"/>
              </w:rPr>
              <w:t>8</w:t>
            </w:r>
          </w:p>
        </w:tc>
      </w:tr>
      <w:tr w:rsidR="00B9436F" w:rsidRPr="007D2094" w14:paraId="2E6527C7" w14:textId="77777777" w:rsidTr="00B9436F">
        <w:trPr>
          <w:trHeight w:val="275"/>
        </w:trPr>
        <w:tc>
          <w:tcPr>
            <w:tcW w:w="395" w:type="dxa"/>
          </w:tcPr>
          <w:p w14:paraId="1B5FDEAC" w14:textId="77777777" w:rsidR="00B9436F" w:rsidRPr="00F766B6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hy-AM"/>
              </w:rPr>
            </w:pPr>
            <w:r w:rsidRPr="00F766B6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65" w:type="dxa"/>
          </w:tcPr>
          <w:p w14:paraId="47EE3816" w14:textId="77777777" w:rsidR="00B9436F" w:rsidRPr="00B9436F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6"/>
                <w:lang w:val="hy-AM"/>
              </w:rPr>
            </w:pPr>
            <w:r w:rsidRPr="00F766B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Դատավարական ղեկավարում և դատախազական հսկողո</w:t>
            </w:r>
            <w:r w:rsidRPr="00B943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ւթյուն</w:t>
            </w:r>
          </w:p>
        </w:tc>
        <w:tc>
          <w:tcPr>
            <w:tcW w:w="1440" w:type="dxa"/>
          </w:tcPr>
          <w:p w14:paraId="787F73D0" w14:textId="4BEFD9B8" w:rsidR="00B9436F" w:rsidRPr="005F1889" w:rsidRDefault="005F1889" w:rsidP="005F1889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</w:pPr>
            <w:r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11,</w:t>
            </w:r>
            <w:r w:rsidR="005B23AC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691</w:t>
            </w:r>
            <w:r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.</w:t>
            </w:r>
            <w:r w:rsidR="005B23AC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8</w:t>
            </w:r>
          </w:p>
        </w:tc>
        <w:tc>
          <w:tcPr>
            <w:tcW w:w="1710" w:type="dxa"/>
          </w:tcPr>
          <w:p w14:paraId="4C8AECB2" w14:textId="550851B5" w:rsidR="00B9436F" w:rsidRPr="005F1889" w:rsidRDefault="005B23AC" w:rsidP="005F1889">
            <w:pPr>
              <w:spacing w:before="120" w:after="120" w:line="288" w:lineRule="auto"/>
              <w:jc w:val="center"/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</w:pPr>
            <w:r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10</w:t>
            </w:r>
            <w:r w:rsidR="005F1889"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637</w:t>
            </w:r>
            <w:r w:rsidR="005F1889" w:rsidRPr="005F1889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2</w:t>
            </w:r>
          </w:p>
        </w:tc>
        <w:tc>
          <w:tcPr>
            <w:tcW w:w="990" w:type="dxa"/>
          </w:tcPr>
          <w:p w14:paraId="08A74581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&lt;</w:t>
            </w:r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  <w:lang w:val="hy-AM"/>
              </w:rPr>
              <w:t>.</w:t>
            </w:r>
            <w:r w:rsidRPr="007D2094">
              <w:rPr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t>xx&gt;</w:t>
            </w:r>
            <w:r w:rsidRPr="007D2094">
              <w:rPr>
                <w:rStyle w:val="a8"/>
                <w:rFonts w:ascii="GHEA Grapalat" w:hAnsi="GHEA Grapalat"/>
                <w:i/>
                <w:iCs/>
                <w:color w:val="000000"/>
                <w:sz w:val="14"/>
                <w:szCs w:val="16"/>
              </w:rPr>
              <w:footnoteReference w:id="1"/>
            </w:r>
          </w:p>
        </w:tc>
        <w:tc>
          <w:tcPr>
            <w:tcW w:w="1080" w:type="dxa"/>
          </w:tcPr>
          <w:p w14:paraId="14221B5D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&lt;… &gt;</w:t>
            </w:r>
          </w:p>
        </w:tc>
        <w:tc>
          <w:tcPr>
            <w:tcW w:w="1170" w:type="dxa"/>
          </w:tcPr>
          <w:p w14:paraId="7B808CC8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&lt;… &gt;</w:t>
            </w:r>
          </w:p>
        </w:tc>
        <w:tc>
          <w:tcPr>
            <w:tcW w:w="1350" w:type="dxa"/>
          </w:tcPr>
          <w:p w14:paraId="0DA5D83C" w14:textId="77777777" w:rsidR="00B9436F" w:rsidRPr="007D2094" w:rsidRDefault="00B9436F" w:rsidP="00B9436F">
            <w:pPr>
              <w:spacing w:before="120" w:after="120" w:line="288" w:lineRule="auto"/>
              <w:jc w:val="center"/>
              <w:rPr>
                <w:rFonts w:ascii="GHEA Grapalat" w:hAnsi="GHEA Grapalat"/>
              </w:rPr>
            </w:pPr>
            <w:r w:rsidRPr="007D2094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&lt;… &gt;</w:t>
            </w:r>
            <w:r w:rsidRPr="007D2094">
              <w:rPr>
                <w:rStyle w:val="a8"/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footnoteReference w:id="2"/>
            </w:r>
          </w:p>
        </w:tc>
      </w:tr>
    </w:tbl>
    <w:p w14:paraId="79B3B6AF" w14:textId="77777777" w:rsidR="00B9436F" w:rsidRPr="004A0225" w:rsidRDefault="00B9436F" w:rsidP="00B9436F">
      <w:pPr>
        <w:pStyle w:val="Default"/>
        <w:spacing w:before="3" w:after="120"/>
        <w:rPr>
          <w:b/>
          <w:bCs/>
          <w:lang w:val="hy-AM"/>
        </w:rPr>
      </w:pPr>
      <w:r w:rsidRPr="00B9436F">
        <w:rPr>
          <w:b/>
          <w:bCs/>
          <w:lang w:val="hy-AM"/>
        </w:rPr>
        <w:t xml:space="preserve"> </w:t>
      </w:r>
      <w:r w:rsidRPr="004A0225">
        <w:rPr>
          <w:b/>
          <w:bCs/>
          <w:lang w:val="hy-AM"/>
        </w:rPr>
        <w:t xml:space="preserve">ԲԱԺԻՆ 4. ԻՐԱԿԱՆԱՑՎՈՂ ՊԵՏԱԿԱՆ ԾՐԱԳՐԵՐԸ </w:t>
      </w:r>
    </w:p>
    <w:p w14:paraId="7E745D05" w14:textId="77777777" w:rsidR="00591BB3" w:rsidRPr="00B9436F" w:rsidRDefault="00B9436F" w:rsidP="00B9436F">
      <w:pPr>
        <w:pStyle w:val="Default"/>
        <w:spacing w:before="3" w:after="120"/>
        <w:jc w:val="both"/>
        <w:rPr>
          <w:bCs/>
        </w:rPr>
      </w:pPr>
      <w:r w:rsidRPr="004A0225">
        <w:rPr>
          <w:lang w:val="hy-AM"/>
        </w:rPr>
        <w:t xml:space="preserve">Աղյուսակ </w:t>
      </w:r>
      <w:r w:rsidRPr="004A0225">
        <w:rPr>
          <w:rFonts w:cs="Gill Sans MT"/>
          <w:b/>
          <w:bCs/>
          <w:lang w:val="hy-AM"/>
        </w:rPr>
        <w:t xml:space="preserve">1. </w:t>
      </w:r>
      <w:r w:rsidRPr="00CE77BD">
        <w:t>Ոլորտի</w:t>
      </w:r>
      <w:r w:rsidRPr="00CE77BD">
        <w:rPr>
          <w:rFonts w:cs="Gill Sans MT"/>
          <w:b/>
          <w:bCs/>
        </w:rPr>
        <w:t>/</w:t>
      </w:r>
      <w:r w:rsidRPr="00CE77BD">
        <w:t>բնագավառի պետական ծրագրերը</w:t>
      </w:r>
    </w:p>
    <w:sectPr w:rsidR="00591BB3" w:rsidRPr="00B9436F" w:rsidSect="00B9436F">
      <w:pgSz w:w="11906" w:h="16838"/>
      <w:pgMar w:top="630" w:right="656" w:bottom="72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BC014" w14:textId="77777777" w:rsidR="00B015FC" w:rsidRDefault="00B015FC" w:rsidP="00E72E68">
      <w:pPr>
        <w:spacing w:after="0" w:line="240" w:lineRule="auto"/>
      </w:pPr>
      <w:r>
        <w:separator/>
      </w:r>
    </w:p>
  </w:endnote>
  <w:endnote w:type="continuationSeparator" w:id="0">
    <w:p w14:paraId="2015D923" w14:textId="77777777" w:rsidR="00B015FC" w:rsidRDefault="00B015FC" w:rsidP="00E7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5C7C" w14:textId="77777777" w:rsidR="00B015FC" w:rsidRDefault="00B015FC" w:rsidP="00E72E68">
      <w:pPr>
        <w:spacing w:after="0" w:line="240" w:lineRule="auto"/>
      </w:pPr>
      <w:r>
        <w:separator/>
      </w:r>
    </w:p>
  </w:footnote>
  <w:footnote w:type="continuationSeparator" w:id="0">
    <w:p w14:paraId="3EF218B1" w14:textId="77777777" w:rsidR="00B015FC" w:rsidRDefault="00B015FC" w:rsidP="00E72E68">
      <w:pPr>
        <w:spacing w:after="0" w:line="240" w:lineRule="auto"/>
      </w:pPr>
      <w:r>
        <w:continuationSeparator/>
      </w:r>
    </w:p>
  </w:footnote>
  <w:footnote w:id="1">
    <w:p w14:paraId="0A59E7E7" w14:textId="77777777" w:rsidR="00B9436F" w:rsidRPr="004C3F71" w:rsidRDefault="00B9436F" w:rsidP="00B9436F">
      <w:pPr>
        <w:pStyle w:val="a6"/>
        <w:rPr>
          <w:lang w:val="hy-AM"/>
        </w:rPr>
      </w:pPr>
      <w:r>
        <w:rPr>
          <w:rStyle w:val="a8"/>
        </w:rPr>
        <w:footnoteRef/>
      </w:r>
      <w:r>
        <w:rPr>
          <w:lang w:val="hy-AM"/>
        </w:rPr>
        <w:t xml:space="preserve"> </w:t>
      </w:r>
      <w:r w:rsidRPr="004C3F71">
        <w:rPr>
          <w:lang w:val="hy-AM"/>
        </w:rPr>
        <w:t>Լր</w:t>
      </w:r>
      <w:r>
        <w:rPr>
          <w:lang w:val="hy-AM"/>
        </w:rPr>
        <w:t>ա</w:t>
      </w:r>
      <w:r w:rsidRPr="004C3F71">
        <w:rPr>
          <w:lang w:val="hy-AM"/>
        </w:rPr>
        <w:t>ցվում է  ծրագրի գծով ընդհանուր հատկացումների կշիռը ոլորտի/բնագավառի ընդամենը հատկացումների մեջ:</w:t>
      </w:r>
    </w:p>
  </w:footnote>
  <w:footnote w:id="2">
    <w:p w14:paraId="36223F9E" w14:textId="0543A35C" w:rsidR="00B9436F" w:rsidRPr="00BD7711" w:rsidRDefault="00B9436F" w:rsidP="00B9436F">
      <w:pPr>
        <w:pStyle w:val="a6"/>
        <w:rPr>
          <w:lang w:val="hy-AM"/>
        </w:rPr>
      </w:pPr>
      <w:r>
        <w:rPr>
          <w:rStyle w:val="a8"/>
        </w:rPr>
        <w:footnoteRef/>
      </w:r>
      <w:r>
        <w:t xml:space="preserve"> </w:t>
      </w:r>
      <w:r w:rsidRPr="00BD7711">
        <w:rPr>
          <w:lang w:val="hy-AM"/>
        </w:rPr>
        <w:t>Լր</w:t>
      </w:r>
      <w:r>
        <w:rPr>
          <w:lang w:val="hy-AM"/>
        </w:rPr>
        <w:t>ա</w:t>
      </w:r>
      <w:r w:rsidRPr="00BD7711">
        <w:rPr>
          <w:lang w:val="hy-AM"/>
        </w:rPr>
        <w:t xml:space="preserve">ցվում է  ծրագրի գծով հատկացումների </w:t>
      </w:r>
      <w:r>
        <w:rPr>
          <w:lang w:val="hy-AM"/>
        </w:rPr>
        <w:t xml:space="preserve">աճի </w:t>
      </w:r>
      <w:r w:rsidRPr="00BD7711">
        <w:rPr>
          <w:lang w:val="hy-AM"/>
        </w:rPr>
        <w:t>կշիռը ոլորտի/բնագավառի ընդամենը հատկացումների 202</w:t>
      </w:r>
      <w:r w:rsidR="005A641B" w:rsidRPr="005A641B">
        <w:rPr>
          <w:lang w:val="hy-AM"/>
        </w:rPr>
        <w:t>6</w:t>
      </w:r>
      <w:r>
        <w:rPr>
          <w:lang w:val="hy-AM"/>
        </w:rPr>
        <w:t>թ. աճում: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6BFE"/>
    <w:multiLevelType w:val="hybridMultilevel"/>
    <w:tmpl w:val="940E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3FF6"/>
    <w:multiLevelType w:val="hybridMultilevel"/>
    <w:tmpl w:val="3460D93A"/>
    <w:lvl w:ilvl="0" w:tplc="A7ECA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A0300"/>
    <w:multiLevelType w:val="hybridMultilevel"/>
    <w:tmpl w:val="BB10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25F"/>
    <w:multiLevelType w:val="hybridMultilevel"/>
    <w:tmpl w:val="F000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37D58"/>
    <w:multiLevelType w:val="hybridMultilevel"/>
    <w:tmpl w:val="DA1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B"/>
    <w:rsid w:val="0010163F"/>
    <w:rsid w:val="001B3434"/>
    <w:rsid w:val="001E56F6"/>
    <w:rsid w:val="001F0666"/>
    <w:rsid w:val="00293104"/>
    <w:rsid w:val="003446D3"/>
    <w:rsid w:val="0041260E"/>
    <w:rsid w:val="00467C38"/>
    <w:rsid w:val="004A0225"/>
    <w:rsid w:val="004B0854"/>
    <w:rsid w:val="00591BB3"/>
    <w:rsid w:val="005A641B"/>
    <w:rsid w:val="005A75AE"/>
    <w:rsid w:val="005B23AC"/>
    <w:rsid w:val="005F1889"/>
    <w:rsid w:val="006726DF"/>
    <w:rsid w:val="00673B4C"/>
    <w:rsid w:val="0082524C"/>
    <w:rsid w:val="00830319"/>
    <w:rsid w:val="0099237A"/>
    <w:rsid w:val="009D5282"/>
    <w:rsid w:val="009F5568"/>
    <w:rsid w:val="009F6848"/>
    <w:rsid w:val="00A4035B"/>
    <w:rsid w:val="00A556C7"/>
    <w:rsid w:val="00A61777"/>
    <w:rsid w:val="00A81EE4"/>
    <w:rsid w:val="00B015FC"/>
    <w:rsid w:val="00B277CD"/>
    <w:rsid w:val="00B343CE"/>
    <w:rsid w:val="00B46002"/>
    <w:rsid w:val="00B9436F"/>
    <w:rsid w:val="00C172D1"/>
    <w:rsid w:val="00C96182"/>
    <w:rsid w:val="00CE77BD"/>
    <w:rsid w:val="00CF1785"/>
    <w:rsid w:val="00D00F34"/>
    <w:rsid w:val="00D07A29"/>
    <w:rsid w:val="00D15789"/>
    <w:rsid w:val="00D25E97"/>
    <w:rsid w:val="00DC50A6"/>
    <w:rsid w:val="00E43C19"/>
    <w:rsid w:val="00E51E13"/>
    <w:rsid w:val="00E72E68"/>
    <w:rsid w:val="00EB29EE"/>
    <w:rsid w:val="00EB661E"/>
    <w:rsid w:val="00F2119A"/>
    <w:rsid w:val="00F74CC5"/>
    <w:rsid w:val="00F766B6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CA4B"/>
  <w15:chartTrackingRefBased/>
  <w15:docId w15:val="{4C1A482D-0640-44DC-BC85-0B3ECF6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35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F6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282"/>
    <w:rPr>
      <w:rFonts w:ascii="Segoe UI" w:hAnsi="Segoe UI" w:cs="Segoe UI"/>
      <w:sz w:val="18"/>
      <w:szCs w:val="18"/>
    </w:rPr>
  </w:style>
  <w:style w:type="paragraph" w:styleId="a6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"/>
    <w:link w:val="a7"/>
    <w:autoRedefine/>
    <w:qFormat/>
    <w:rsid w:val="00E72E68"/>
    <w:pPr>
      <w:spacing w:after="0" w:line="240" w:lineRule="auto"/>
    </w:pPr>
    <w:rPr>
      <w:rFonts w:ascii="GHEA Grapalat" w:eastAsia="Times New Roman" w:hAnsi="GHEA Grapalat" w:cs="Times New Roman"/>
      <w:i/>
      <w:sz w:val="16"/>
      <w:szCs w:val="20"/>
      <w:lang w:val="x-none" w:eastAsia="x-none"/>
    </w:rPr>
  </w:style>
  <w:style w:type="character" w:customStyle="1" w:styleId="FootnoteTextChar">
    <w:name w:val="Footnote Text Char"/>
    <w:basedOn w:val="a0"/>
    <w:uiPriority w:val="99"/>
    <w:semiHidden/>
    <w:rsid w:val="00E72E68"/>
    <w:rPr>
      <w:sz w:val="20"/>
      <w:szCs w:val="20"/>
    </w:rPr>
  </w:style>
  <w:style w:type="character" w:customStyle="1" w:styleId="a7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link w:val="a6"/>
    <w:rsid w:val="00E72E68"/>
    <w:rPr>
      <w:rFonts w:ascii="GHEA Grapalat" w:eastAsia="Times New Roman" w:hAnsi="GHEA Grapalat" w:cs="Times New Roman"/>
      <w:i/>
      <w:sz w:val="16"/>
      <w:szCs w:val="20"/>
      <w:lang w:val="x-none" w:eastAsia="x-none"/>
    </w:rPr>
  </w:style>
  <w:style w:type="character" w:styleId="a8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,Ciae niinee-FN"/>
    <w:rsid w:val="00E72E68"/>
    <w:rPr>
      <w:vertAlign w:val="superscript"/>
    </w:rPr>
  </w:style>
  <w:style w:type="table" w:styleId="a9">
    <w:name w:val="Table Grid"/>
    <w:basedOn w:val="a1"/>
    <w:uiPriority w:val="39"/>
    <w:rsid w:val="00E72E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591BB3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C4ED-8069-45C6-997F-B34A65F1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Arpine Sargsyan</cp:lastModifiedBy>
  <cp:revision>8</cp:revision>
  <cp:lastPrinted>2022-12-16T10:19:00Z</cp:lastPrinted>
  <dcterms:created xsi:type="dcterms:W3CDTF">2024-03-13T10:56:00Z</dcterms:created>
  <dcterms:modified xsi:type="dcterms:W3CDTF">2026-02-27T06:25:00Z</dcterms:modified>
</cp:coreProperties>
</file>